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ef2ef45014cb18b318f07759c9739b565fa34"/>
    <w:p>
      <w:pPr>
        <w:pStyle w:val="Heading3"/>
      </w:pPr>
      <w:r>
        <w:t xml:space="preserve">Комиссия по соблюдению требований к служебному поведению и урегулированию конфликта интересов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hyperlink r:id="rId20">
        <w:r>
          <w:rPr>
            <w:rStyle w:val="Hyperlink"/>
          </w:rPr>
          <w:t xml:space="preserve">Комиссия по соблюдению требований к служебному поведению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http://lefortovo.mos.ru/anti-corruption/the-commission-for-observance-of-requirements-for-the-official-behaviour-of-state-civil-employees-of/detail/1111017.html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anti-corruption/the-commission-for-observance-of-requirements-for-the-official-behaviour-of-state-civil-employees-of/detail/1111017.html" TargetMode="External" /><Relationship Type="http://schemas.openxmlformats.org/officeDocument/2006/relationships/hyperlink" Id="rId20" Target="http://www.rosmintrud.ru/ministry/anticorruption/committe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anti-corruption/the-commission-for-observance-of-requirements-for-the-official-behaviour-of-state-civil-employees-of/detail/1111017.html" TargetMode="External" /><Relationship Type="http://schemas.openxmlformats.org/officeDocument/2006/relationships/hyperlink" Id="rId20" Target="http://www.rosmintrud.ru/ministry/anticorruption/committe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2025-04-10T03:56:22Z</dcterms:created>
  <dcterms:modified xsi:type="dcterms:W3CDTF">2025-04-10T03:56:22Z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