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a10c14903ef0a17c7d2f6f7d158a258e537a4"/>
    <w:p>
      <w:pPr>
        <w:pStyle w:val="Heading3"/>
      </w:pPr>
      <w:r>
        <w:t xml:space="preserve">Более 155 тысяч реестровых дел оцифровано столичным Роскадастром в 2024 году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работы по переводу документов в электронный вид.</w:t>
      </w:r>
    </w:p>
    <w:p>
      <w:pPr>
        <w:pStyle w:val="BodyText"/>
      </w:pPr>
      <w:r>
        <w:rPr>
          <w:bCs/>
          <w:b/>
        </w:rPr>
        <w:t xml:space="preserve">Роскадастром по Москве в полном объеме выполнен план по оцифровке реестровых дел на 2024 год. Мероприятия по наполнению электронного архива проводились в целях реализации государственной программы «Национальная система пространственных данных», одной из стратегических целей которой является достижение «цифровой зрелости» компании. Переход на электронный документооборот и создание цифрового архива – важная составляющая цифровой трансформации Росреестра, позволяющая повысить качество данных Единого государственного реестра недвижимости (ЕГРН).</w:t>
      </w:r>
    </w:p>
    <w:p>
      <w:pPr>
        <w:pStyle w:val="BodyText"/>
      </w:pPr>
      <w:r>
        <w:rPr>
          <w:iCs/>
          <w:i/>
        </w:rPr>
        <w:t xml:space="preserve">«В 2024 году проведена масштабная работа по оцифровке документов, в общей сложности переведено в «цифру» более 155 тысяч реестровых дел.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Для достижения такого результата нашими экспертами отсканировано порядка 3,8 миллионов страниц. Наполнение электронного архива позволит сократить сроки оказания государственных услуг за счет обеспечения оперативного доступа к данным»,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Москве Александра Смирнова.</w:t>
      </w:r>
    </w:p>
    <w:p>
      <w:pPr>
        <w:pStyle w:val="BodyText"/>
      </w:pPr>
      <w:r>
        <w:t xml:space="preserve">Электронный архивный фонд столичного Роскадастра хранится бессрочно </w:t>
      </w:r>
      <w:r>
        <w:t xml:space="preserve">и не подлежит изъятию или утилизации. Сканированные электронные образы реестровых дел подписываются электронной подписью сотрудника учреждения </w:t>
      </w:r>
      <w:r>
        <w:t xml:space="preserve">и загружаются в информационную систему «Архив». Таким образом, оцифрованные реестровые дела имеют такую же юридическую силу, как </w:t>
      </w:r>
      <w:r>
        <w:t xml:space="preserve">и бумажные дела.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t xml:space="preserve">Напомним, 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ЕГРН вносятся сведения об объекте недвижимости.</w:t>
      </w:r>
    </w:p>
    <w:p>
      <w:pPr>
        <w:pStyle w:val="BodyText"/>
      </w:pPr>
      <w:r>
        <w:t xml:space="preserve">Обращаем внимание, что в соответствии с Федеральным законом </w:t>
      </w:r>
      <w:r>
        <w:t xml:space="preserve">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http://lefortovo.mos.ru/new-section/detail/12765641.html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efortovo.mos.ru" TargetMode="External" /><Relationship Type="http://schemas.openxmlformats.org/officeDocument/2006/relationships/hyperlink" Id="rId21" Target="http://lefortovo.mos.ru/new-section/detail/12765641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efortovo.mos.ru" TargetMode="External" /><Relationship Type="http://schemas.openxmlformats.org/officeDocument/2006/relationships/hyperlink" Id="rId21" Target="http://lefortovo.mos.ru/new-section/detail/12765641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2025-04-10T03:58:59Z</dcterms:created>
  <dcterms:modified xsi:type="dcterms:W3CDTF">2025-04-10T03:58:59Z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