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8bbb3b4f75e2d92ef79c94b2fa79e6395fa6ce"/>
    <w:p>
      <w:pPr>
        <w:pStyle w:val="Heading3"/>
      </w:pPr>
      <w:r>
        <w:t xml:space="preserve">С начала 2025 года Отделение СФР по Москве и Московской области назначило единое пособие родителям более 130 тысяч детей</w:t>
      </w:r>
    </w:p>
    <w:p>
      <w:pPr>
        <w:pStyle w:val="FirstParagraph"/>
      </w:pPr>
      <w:r>
        <w:t xml:space="preserve">12.05.2025</w:t>
      </w:r>
    </w:p>
    <w:p>
      <w:pPr>
        <w:pStyle w:val="BodyText"/>
      </w:pPr>
      <w:r>
        <w:t xml:space="preserve">В 2025 году единое пособие на детей в возрасте до 17 лет остается одной из самых востребованных мер социальной поддержки семей в Московском регионе. Только за четыре месяца его оформили почти 66 тысяч семей в отношении более 130,1 тысяч детей. На эти цели Отделение СФР по Москве и Московской области направило свыше 12,7 миллиардов рублей.</w:t>
      </w:r>
    </w:p>
    <w:p>
      <w:pPr>
        <w:pStyle w:val="BodyText"/>
      </w:pPr>
      <w:r>
        <w:t xml:space="preserve">Единое пособие назначается одному из родителей (усыновителей, опекунов (попечителей) с учетом комплексной оценки нуждаемости при соблюдении следующих условий:</w:t>
      </w:r>
    </w:p>
    <w:p>
      <w:pPr>
        <w:numPr>
          <w:ilvl w:val="0"/>
          <w:numId w:val="1001"/>
        </w:numPr>
        <w:pStyle w:val="Compact"/>
      </w:pPr>
      <w:r>
        <w:t xml:space="preserve">заявитель и дети являются гражданами Российской Федерации и постоянно проживают на территории России;</w:t>
      </w:r>
    </w:p>
    <w:p>
      <w:pPr>
        <w:numPr>
          <w:ilvl w:val="0"/>
          <w:numId w:val="1001"/>
        </w:numPr>
        <w:pStyle w:val="Compact"/>
      </w:pPr>
      <w:r>
        <w:t xml:space="preserve">ежемесячный доход на каждого члена семьи не превышает величину регионального прожиточного минимума на душу населения;</w:t>
      </w:r>
    </w:p>
    <w:p>
      <w:pPr>
        <w:numPr>
          <w:ilvl w:val="0"/>
          <w:numId w:val="1001"/>
        </w:numPr>
        <w:pStyle w:val="Compact"/>
      </w:pPr>
      <w:r>
        <w:t xml:space="preserve">доход каждого трудоспособного члена семьи от 18 лет в расчетном периоде должен составлять не менее 4 минимальных размеров оплаты (в 2025 году это 89 760 рублей);</w:t>
      </w:r>
    </w:p>
    <w:p>
      <w:pPr>
        <w:numPr>
          <w:ilvl w:val="0"/>
          <w:numId w:val="1001"/>
        </w:numPr>
        <w:pStyle w:val="Compact"/>
      </w:pPr>
      <w:r>
        <w:t xml:space="preserve">собственность семьи (недвижимость, земельные участки и транспорт) соответствует установленным законодательно критериям.</w:t>
      </w:r>
    </w:p>
    <w:p>
      <w:pPr>
        <w:pStyle w:val="FirstParagraph"/>
      </w:pPr>
      <w:r>
        <w:t xml:space="preserve">При определении права семьи на получение пособия учитываются следующие доходы: заработная плата, стипендии, пенсии, пособия, доходы от предпринимательской деятельности, самозанятости, вкладов, аренды и продажи имущества, также алименты, выплаты правопреемникам и некоторые другие.</w:t>
      </w:r>
    </w:p>
    <w:p>
      <w:pPr>
        <w:pStyle w:val="BodyText"/>
      </w:pPr>
      <w:r>
        <w:t xml:space="preserve">Вместе с этим, ряд доходов не рассматриваются при назначении единого пособия. В их число входят материнский капитал, налоговые вычеты, социальный контракт, выплаты по уходу за детьми с инвалидностью, выплаты родителям со званием «Мать-героиня» или награжденным орденом, медалью ордена «Родительская слава», доходы мобилизованных граждан и от трудовой деятельности подростков в возрасте до 18 лет в период обучения.</w:t>
      </w:r>
    </w:p>
    <w:p>
      <w:pPr>
        <w:pStyle w:val="BodyText"/>
      </w:pPr>
      <w:r>
        <w:t xml:space="preserve">С полным перечнем доходов можно ознакомиться на сайте Социального фонда России в разделе «Гражданам. Единое пособие».</w:t>
      </w:r>
    </w:p>
    <w:p>
      <w:pPr>
        <w:pStyle w:val="BodyText"/>
      </w:pPr>
      <w:r>
        <w:t xml:space="preserve">В Отделении СФР по Москве и Московской области обращают внимание, что при назначении единого пособия действует правило «нулевого дохода». В этом случае, отсутствие официального дохода от трудовой деятельности у взрослых членов семьи допускается только при наличии уважительных причин, например, уход за ребенком, беременность, служба в армии и другие жизненные обстоятельства.</w:t>
      </w:r>
    </w:p>
    <w:p>
      <w:pPr>
        <w:pStyle w:val="BodyText"/>
      </w:pPr>
      <w:r>
        <w:t xml:space="preserve">Размер выплаты единого пособия составляет 50, 75 или 100% величины прожиточного минимума на детей, установленного в регионе проживания семьи. В Московской области прожиточный минимум на детей в 2025 году увеличен до 18 723 рублей. Это и будет максимальный, то есть 100% размер единого пособия. При одобрении 75% – размер единого пособия составит 14 042,25 рублей, соответственно 50% – 9 361,50 рублей.</w:t>
      </w:r>
    </w:p>
    <w:p>
      <w:pPr>
        <w:pStyle w:val="BodyText"/>
      </w:pPr>
      <w:r>
        <w:t xml:space="preserve">С 2025 года в правила назначения единого пособия внесены некоторые изменения. К примеру, родителям стало проще оформить указанную выплату на новорожденного ребенка. Если семья уже получает выплаты на старших детей, то в случае рождения последующего ребенка региональное Отделение назначает единое пособие в беззаявительном порядке, без комплексной проверки нуждаемости и в размере, установленном предыдущим детям.</w:t>
      </w:r>
    </w:p>
    <w:p>
      <w:pPr>
        <w:pStyle w:val="BodyText"/>
      </w:pPr>
      <w:r>
        <w:t xml:space="preserve">У семей Московского региона также появилась возможность синхронизировать сроки получения выплаты. В последний месяц периода получения единого пособия на одного из детей, семья может подать заявление на его переоформление на всех детей сразу.</w:t>
      </w:r>
    </w:p>
    <w:p>
      <w:pPr>
        <w:pStyle w:val="BodyText"/>
      </w:pPr>
      <w:r>
        <w:t xml:space="preserve">Единое пособие назначается на 12 месяцев и продлевается на основании заявления гражданина. После исполнения 17 лет выплата прекращается с 1 числа месяца, следующего за месяцем достижения ребенком указанного возраста.</w:t>
      </w:r>
    </w:p>
    <w:p>
      <w:pPr>
        <w:pStyle w:val="BodyText"/>
      </w:pPr>
      <w:r>
        <w:t xml:space="preserve">Напоминаем, что назначением единого пособия в столице занимаются органы социальной защиты населения, для этого необходимо подать электронное заявление через портал mos.ru. Жители Московской области могут получить данную меру социальной поддержки в региональном Отделении Соцфонда. Заявление можно оформить в личном кабинете на госуслугах, в любой клиентской службе Отделения СФР или МФЦ.</w:t>
      </w:r>
    </w:p>
    <w:p>
      <w:pPr>
        <w:pStyle w:val="BodyText"/>
      </w:pPr>
      <w:r>
        <w:t xml:space="preserve">Если остались вопросы, всегда можно обратиться в единый контакт-центр взаимодействия с гражданами по тел. 8 (800) 100-00-01 (звонок бесплатный), а также получить информацию, подписавшись на наши страницы в социальных сетях:</w:t>
      </w:r>
    </w:p>
    <w:p>
      <w:pPr>
        <w:pStyle w:val="BodyText"/>
      </w:pPr>
      <w:r>
        <w:t xml:space="preserve">ВК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https://vk.com/sfr.moskva.i.moskovskaya.oblast</w:t>
        </w:r>
      </w:hyperlink>
    </w:p>
    <w:p>
      <w:pPr>
        <w:pStyle w:val="BodyText"/>
      </w:pPr>
      <w:r>
        <w:t xml:space="preserve">ОК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https://ok.ru/sfr.msk.i.moskobl</w:t>
        </w:r>
      </w:hyperlink>
    </w:p>
    <w:p>
      <w:pPr>
        <w:pStyle w:val="BodyText"/>
      </w:pPr>
      <w:r>
        <w:t xml:space="preserve">ТГ</w:t>
      </w:r>
      <w:r>
        <w:t xml:space="preserve"> </w:t>
      </w:r>
      <w:hyperlink r:id="rId22">
        <w:r>
          <w:rPr>
            <w:rStyle w:val="Hyperlink"/>
            <w:u w:val="single"/>
          </w:rPr>
          <w:t xml:space="preserve">https://t.me/sfr_moskva_i_moskovskayaoblast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http://lefortovo.mos.ru/pension-fund/detail/12960293.html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pension-fund/detail/12960293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pension-fund/detail/12960293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2025-08-04T11:06:31Z</dcterms:created>
  <dcterms:modified xsi:type="dcterms:W3CDTF">2025-08-04T11:06:31Z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